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left w:w="57" w:type="dxa"/>
          <w:right w:w="57" w:type="dxa"/>
        </w:tblCellMar>
        <w:tblLook w:val="04A0" w:firstRow="1" w:lastRow="0" w:firstColumn="1" w:lastColumn="0" w:noHBand="0" w:noVBand="1"/>
      </w:tblPr>
      <w:tblGrid>
        <w:gridCol w:w="7645"/>
        <w:gridCol w:w="2549"/>
      </w:tblGrid>
      <w:tr w:rsidR="006A007A" w:rsidRPr="003834C0" w14:paraId="49E6300D" w14:textId="77777777" w:rsidTr="00FA6DF3">
        <w:tc>
          <w:tcPr>
            <w:tcW w:w="7645" w:type="dxa"/>
            <w:tcBorders>
              <w:bottom w:val="nil"/>
            </w:tcBorders>
          </w:tcPr>
          <w:p w14:paraId="523BF10D" w14:textId="1616CD71" w:rsidR="006A007A" w:rsidRPr="003834C0" w:rsidRDefault="00FA6DF3" w:rsidP="00E3040C">
            <w:pPr>
              <w:pStyle w:val="NoSpacing"/>
              <w:rPr>
                <w:sz w:val="14"/>
                <w:szCs w:val="14"/>
              </w:rPr>
            </w:pPr>
            <w:r>
              <w:rPr>
                <w:sz w:val="14"/>
                <w:szCs w:val="14"/>
              </w:rPr>
              <w:t>Heiti kröfuhafa</w:t>
            </w:r>
          </w:p>
        </w:tc>
        <w:tc>
          <w:tcPr>
            <w:tcW w:w="2549" w:type="dxa"/>
            <w:tcBorders>
              <w:bottom w:val="nil"/>
            </w:tcBorders>
          </w:tcPr>
          <w:p w14:paraId="44ECC248" w14:textId="3D83A0BC" w:rsidR="006A007A" w:rsidRPr="003834C0" w:rsidRDefault="00FA6DF3" w:rsidP="00E3040C">
            <w:pPr>
              <w:pStyle w:val="NoSpacing"/>
              <w:rPr>
                <w:sz w:val="14"/>
                <w:szCs w:val="14"/>
              </w:rPr>
            </w:pPr>
            <w:r>
              <w:rPr>
                <w:sz w:val="14"/>
                <w:szCs w:val="14"/>
              </w:rPr>
              <w:t>Kennitala kröfuhafa</w:t>
            </w:r>
          </w:p>
        </w:tc>
      </w:tr>
      <w:tr w:rsidR="006A007A" w14:paraId="7B64EA70" w14:textId="77777777" w:rsidTr="00FA6DF3">
        <w:tc>
          <w:tcPr>
            <w:tcW w:w="7645" w:type="dxa"/>
            <w:tcBorders>
              <w:top w:val="nil"/>
              <w:bottom w:val="single" w:sz="4" w:space="0" w:color="auto"/>
            </w:tcBorders>
          </w:tcPr>
          <w:p w14:paraId="2633AECF" w14:textId="6078CD25" w:rsidR="006A007A" w:rsidRDefault="00FA6DF3" w:rsidP="00E3040C">
            <w:pPr>
              <w:pStyle w:val="NoSpacing"/>
            </w:pPr>
            <w:r>
              <w:fldChar w:fldCharType="begin">
                <w:ffData>
                  <w:name w:val="Vidskiptavinur"/>
                  <w:enabled/>
                  <w:calcOnExit/>
                  <w:textInput>
                    <w:default w:val="[Heiti kröfuhafa]"/>
                  </w:textInput>
                </w:ffData>
              </w:fldChar>
            </w:r>
            <w:bookmarkStart w:id="0" w:name="Vidskiptavinur"/>
            <w:r>
              <w:instrText xml:space="preserve"> FORMTEXT </w:instrText>
            </w:r>
            <w:r>
              <w:fldChar w:fldCharType="separate"/>
            </w:r>
            <w:r>
              <w:rPr>
                <w:noProof/>
              </w:rPr>
              <w:t>[Heiti kröfuhafa]</w:t>
            </w:r>
            <w:r>
              <w:fldChar w:fldCharType="end"/>
            </w:r>
            <w:bookmarkEnd w:id="0"/>
          </w:p>
        </w:tc>
        <w:tc>
          <w:tcPr>
            <w:tcW w:w="2549" w:type="dxa"/>
            <w:tcBorders>
              <w:top w:val="nil"/>
              <w:bottom w:val="single" w:sz="4" w:space="0" w:color="auto"/>
            </w:tcBorders>
          </w:tcPr>
          <w:p w14:paraId="74083EFA" w14:textId="0A3508D6" w:rsidR="006A007A" w:rsidRDefault="00FA6DF3" w:rsidP="00E3040C">
            <w:pPr>
              <w:pStyle w:val="NoSpacing"/>
            </w:pPr>
            <w:r>
              <w:fldChar w:fldCharType="begin">
                <w:ffData>
                  <w:name w:val="Kennitala"/>
                  <w:enabled/>
                  <w:calcOnExit/>
                  <w:textInput>
                    <w:type w:val="number"/>
                    <w:maxLength w:val="11"/>
                    <w:format w:val="0#####-####"/>
                  </w:textInput>
                </w:ffData>
              </w:fldChar>
            </w:r>
            <w:bookmarkStart w:id="1" w:name="Kennital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FE89408" w14:textId="77777777" w:rsidR="006A007A" w:rsidRDefault="006A007A" w:rsidP="006A007A"/>
    <w:p w14:paraId="47B67805" w14:textId="6481500B" w:rsidR="006A007A" w:rsidRPr="00B71734" w:rsidRDefault="006A007A" w:rsidP="006A007A">
      <w:r w:rsidRPr="00B71734">
        <w:t xml:space="preserve">Skilmálar þessi gilda um innheimtuþjónustu hjá Landsbankanum hf., kt. 471008-0280 (hér eftir „Landsbankinn“ eða „bankinn“) og skal kröfuhafi hlíta skilmálunum í hvívetna. </w:t>
      </w:r>
    </w:p>
    <w:p w14:paraId="3E272D9C" w14:textId="7A1E0B07" w:rsidR="006A007A" w:rsidRPr="00B71734" w:rsidRDefault="006A007A" w:rsidP="006A007A">
      <w:pPr>
        <w:pStyle w:val="ListParagraph"/>
      </w:pPr>
      <w:r w:rsidRPr="00B71734">
        <w:t xml:space="preserve">Kröfur sem eru stofnaðar í innheimtukerfi Landsbankans er hægt að greiða í öllum bönkum og sparisjóðum. Kröfuhafi skuldbindur sig til að sjá til þess að kröfuupplýsingar séu ávallt réttar í gögnum bankans og til að fella niður þær kröfur sem greiddar eru á annan hátt en í gegnum banka eða sparisjóði. </w:t>
      </w:r>
    </w:p>
    <w:p w14:paraId="000D92B1" w14:textId="438BBB78" w:rsidR="006A007A" w:rsidRPr="00B71734" w:rsidRDefault="006A007A" w:rsidP="006A007A">
      <w:pPr>
        <w:pStyle w:val="ListParagraph"/>
      </w:pPr>
      <w:r w:rsidRPr="00B71734">
        <w:t xml:space="preserve">Kröfuhafi skal óska eftir ákveðnum grunnstillingum sem skulu gilda fyrir allar þjónustur kröfuhafa í innheimtukerfi Landsbankans nema um annað sé sérstaklega samið. </w:t>
      </w:r>
    </w:p>
    <w:p w14:paraId="23C13BB0" w14:textId="794F8389" w:rsidR="006A007A" w:rsidRPr="00B71734" w:rsidRDefault="006A007A" w:rsidP="006A007A">
      <w:pPr>
        <w:pStyle w:val="ListParagraph"/>
      </w:pPr>
      <w:r w:rsidRPr="00B71734">
        <w:t xml:space="preserve">Kröfur greiðast inn á  ráðstöfunarreikning sem kröfuhafi tilgreinir fyrir hverja innheimtuþjónustu fyrir sig. </w:t>
      </w:r>
    </w:p>
    <w:p w14:paraId="471B88EF" w14:textId="2620EC25" w:rsidR="006A007A" w:rsidRPr="00B71734" w:rsidRDefault="006A007A" w:rsidP="006A007A">
      <w:pPr>
        <w:pStyle w:val="ListParagraph"/>
      </w:pPr>
      <w:r w:rsidRPr="00B71734">
        <w:t>Kröfuhafi skal tilgreina niðurfellingardag krafna í samræmi við æskilegan líftíma þeirra.</w:t>
      </w:r>
    </w:p>
    <w:p w14:paraId="06611092" w14:textId="24F677B8" w:rsidR="006A007A" w:rsidRPr="00B71734" w:rsidRDefault="006A007A" w:rsidP="006A007A">
      <w:pPr>
        <w:pStyle w:val="ListParagraph"/>
      </w:pPr>
      <w:r w:rsidRPr="00B71734">
        <w:t xml:space="preserve">Beiðni um breytingu á þjónustu í innheimtukerfi Landsbankans skal berast bankanum með sannanlegum hætti frá þeim aðila sem gegnir starfi innheimtustjóra eða innheimtufulltrúa kröfuhafa eða þeim sem kröfuhafi hefur veitt umboð til að annast innheimtu fyrir sína hönd. Varði beiðni breytingu á ráðstöfunarreikningi lögaðila og eigandi ráðstöfunarreikningsins er annar en kröfuhafi skal slík beiðni berast frá þeim sem hefur heimildir til að skuldbinda kröfuhafa samkvæmt reglum hans eða samkvæmt hlutafélagaskrá (af stjórn, framkvæmdastjóra eða prókúruhafa). </w:t>
      </w:r>
    </w:p>
    <w:p w14:paraId="54C5590D" w14:textId="3C9FB3B5" w:rsidR="006A007A" w:rsidRPr="00B71734" w:rsidRDefault="006A007A" w:rsidP="006A007A">
      <w:pPr>
        <w:pStyle w:val="ListParagraph"/>
      </w:pPr>
      <w:r w:rsidRPr="00B71734">
        <w:t xml:space="preserve">Gjöld fyrir innheimtuþjónustuna eru samkvæmt verðskrá Landsbankans eins og hún er hverju sinni, nema sérstaklega sé samið um annað, og skal bankanum heimilt að skuldfæra mánaðarlega af þeim reikningi sem kröfuhafi hefur skráð á hverja innheimtuþjónustu. Verðskrá Landsbankans er aðgengileg á vef bankans, </w:t>
      </w:r>
      <w:hyperlink r:id="rId7" w:history="1">
        <w:r w:rsidR="00B71734" w:rsidRPr="00B71734">
          <w:rPr>
            <w:rStyle w:val="Hyperlink"/>
            <w:color w:val="auto"/>
          </w:rPr>
          <w:t>www.landsbankinn.is/</w:t>
        </w:r>
      </w:hyperlink>
      <w:r w:rsidRPr="00B71734">
        <w:t xml:space="preserve">. </w:t>
      </w:r>
    </w:p>
    <w:p w14:paraId="31F6216A" w14:textId="342B51EF" w:rsidR="006A007A" w:rsidRPr="00B71734" w:rsidRDefault="006A007A" w:rsidP="006A007A">
      <w:pPr>
        <w:pStyle w:val="ListParagraph"/>
      </w:pPr>
      <w:r w:rsidRPr="00B71734">
        <w:t xml:space="preserve">Landsbankinn áskilur sér rétt til þess að loka fyrir innheimtuþjónustu kröfuhafa, að fullu eða að hluta, og fella niður ógreiddar innheimtukröfur úr innheimtukerfi bankans, að eigin frumkvæði og með einhliða tilkynningu til kröfuhafa, ef ekki er næg innstæða til skuldfærslu þjónustugjalda eða ef kröfuhafi verður uppvís að því að brjóta lög, reglur bankans, skilmála bankans eða aðrar reglur sem gilda um viðskipti hans við bankann, eða ef kröfuhafi verður uppvís af því að misnota þjónustuna með einhverjum hætti, t.d. með útgáfu tilhæfulausra krafna.  </w:t>
      </w:r>
    </w:p>
    <w:p w14:paraId="4A6CA33E" w14:textId="43EFDA3D" w:rsidR="006A007A" w:rsidRPr="00B71734" w:rsidRDefault="006A007A" w:rsidP="006A007A">
      <w:pPr>
        <w:pStyle w:val="ListParagraph"/>
      </w:pPr>
      <w:r w:rsidRPr="00B71734">
        <w:t>Landsbankinn ber aðeins ábyrgð á því beina tjóni sem starfsmenn hans kunna að valda, annað hvort af stórkostlegu gáleysi eða ásetningi, en aldrei til afleidds tjóns sem kann að verða af þeim sökum. Bótaábyrgð nær hvorki til tjóns vegna glataðra viðskiptatækifæra né tjóns vegna óviðráðanlegra ytri atvika (force majeure).</w:t>
      </w:r>
    </w:p>
    <w:p w14:paraId="44BF6328" w14:textId="3A269EE4" w:rsidR="006A007A" w:rsidRPr="00B71734" w:rsidRDefault="006A007A" w:rsidP="006A007A">
      <w:pPr>
        <w:pStyle w:val="ListParagraph"/>
      </w:pPr>
      <w:r w:rsidRPr="00B71734">
        <w:t xml:space="preserve">Um innheimtuþjónustu Landsbankans gilda auk skilmála þessara Almennir viðskiptaskilmálar Landsbankans eins og þeir eru birtir á vef Landsbankans, nú </w:t>
      </w:r>
      <w:hyperlink r:id="rId8" w:history="1">
        <w:r w:rsidR="00B71734" w:rsidRPr="00B71734">
          <w:rPr>
            <w:rStyle w:val="Hyperlink"/>
            <w:color w:val="auto"/>
          </w:rPr>
          <w:t>www.landsbankinn.is/</w:t>
        </w:r>
      </w:hyperlink>
      <w:r w:rsidRPr="00B71734">
        <w:t xml:space="preserve">, </w:t>
      </w:r>
      <w:hyperlink r:id="rId9" w:history="1">
        <w:r w:rsidRPr="00B71734">
          <w:rPr>
            <w:rStyle w:val="Hyperlink"/>
            <w:color w:val="auto"/>
          </w:rPr>
          <w:t>innheimtulög</w:t>
        </w:r>
      </w:hyperlink>
      <w:r w:rsidRPr="00B71734">
        <w:t xml:space="preserve"> og </w:t>
      </w:r>
      <w:hyperlink r:id="rId10" w:history="1">
        <w:r w:rsidRPr="00B71734">
          <w:rPr>
            <w:rStyle w:val="Hyperlink"/>
            <w:color w:val="auto"/>
          </w:rPr>
          <w:t>reglugerð um hámarksfjárhæð innheimtukostnaðar o.fl.</w:t>
        </w:r>
      </w:hyperlink>
      <w:r w:rsidRPr="00B71734">
        <w:t>, ásamt síðari breytingum. Breytingar sem kunna að verða gerðar og taka gildi á skilmálum þessum og öðrum reglum taka jafnframt gildi að því er varðar gildandi innheimtuþjónustur kröfuhafa. Með undirritun sinni á skilmála þessa eða með því að stofna til innheimtuþjónustu Landsbankans í netbanka fyrirtækja eða í appinu staðfestir kröfuhafi að hafa kynnt sér alla þá skilmála sem gilda um innheimtuþjónustu Landsbankans og mun í einu og öllu fara eftir ákvæðum þeirra. Kröfuhafi ber ábyrgð á þeirri vinnslu persónuupplýsinga sem fer fram hjá honum í tengslum við innheimtuþjónustu Landsbankans og skal kröfuhafi gæta þess að vinnslan sé í samræmi við gildandi lög um persónuvernd og vinnslu persónuupplýsinga, þ.m.t. að fyrir liggi heimild til vinnslunnar, þ.e. stofnunar kröfu á hendur skuldara, að fullnægjandi fræðsla hafi verið veitt skuldara og fyllsta öryggis gætt við alla vinnslu persónuupplýsinga. Um vinnslu persónuupplýsinga hjá Landsbankanum fer samkvæmt persónuverndarstefnu bankans.</w:t>
      </w:r>
    </w:p>
    <w:p w14:paraId="7D4BC301" w14:textId="07F441C7" w:rsidR="006A007A" w:rsidRPr="00B71734" w:rsidRDefault="006A007A" w:rsidP="006A007A">
      <w:pPr>
        <w:pStyle w:val="ListParagraph"/>
      </w:pPr>
      <w:r w:rsidRPr="00B71734">
        <w:t>Skilmálar þessir taka gildi við undirritun og eru ótímabundnir. Skilmálarnir gilda þó að kröfuhafi bæti við þjónustu í innheimtukerfi Landsbankans eða þjónustu sé breytt. Landsbankinn getur hvenær sem er gert breytingar á skilmálum þessum einhliða og án fyrirvara. Breytingar á skilmálunum eru tilkynntar kröfuhafa á varanlegum miðli með skilaboðum í netbanka og/eða með almennri tilkynningu á vefsvæði bankans.</w:t>
      </w:r>
    </w:p>
    <w:p w14:paraId="1E85DF32" w14:textId="224A8340" w:rsidR="006A007A" w:rsidRPr="00B71734" w:rsidRDefault="006A007A" w:rsidP="006A007A">
      <w:pPr>
        <w:pStyle w:val="ListParagraph"/>
      </w:pPr>
      <w:r w:rsidRPr="00B71734">
        <w:t>Um skilmála þessa gilda íslensk lög. Rísi mál út af skilmálum þessum má reka það fyrir Héraðsdómi Reykjavíkur.</w:t>
      </w:r>
    </w:p>
    <w:p w14:paraId="0F73899D" w14:textId="77777777" w:rsidR="00FF35D4" w:rsidRDefault="00FF35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57"/>
        <w:gridCol w:w="679"/>
        <w:gridCol w:w="4758"/>
      </w:tblGrid>
      <w:tr w:rsidR="0024408A" w14:paraId="79A716D9" w14:textId="77777777" w:rsidTr="0096599F">
        <w:trPr>
          <w:trHeight w:val="415"/>
        </w:trPr>
        <w:tc>
          <w:tcPr>
            <w:tcW w:w="4757" w:type="dxa"/>
          </w:tcPr>
          <w:p w14:paraId="3B9133C6" w14:textId="77777777" w:rsidR="0024408A" w:rsidRDefault="0024408A" w:rsidP="0024408A">
            <w:pPr>
              <w:pStyle w:val="NoSpacing"/>
            </w:pPr>
          </w:p>
        </w:tc>
        <w:tc>
          <w:tcPr>
            <w:tcW w:w="679" w:type="dxa"/>
          </w:tcPr>
          <w:p w14:paraId="4C7BF817" w14:textId="77777777" w:rsidR="0024408A" w:rsidRDefault="0024408A" w:rsidP="0024408A">
            <w:pPr>
              <w:pStyle w:val="NoSpacing"/>
            </w:pPr>
          </w:p>
        </w:tc>
        <w:tc>
          <w:tcPr>
            <w:tcW w:w="4758" w:type="dxa"/>
            <w:tcBorders>
              <w:bottom w:val="single" w:sz="4" w:space="0" w:color="auto"/>
            </w:tcBorders>
          </w:tcPr>
          <w:p w14:paraId="588ECEF9" w14:textId="77777777" w:rsidR="0024408A" w:rsidRDefault="0024408A" w:rsidP="0024408A">
            <w:pPr>
              <w:pStyle w:val="NoSpacing"/>
            </w:pPr>
          </w:p>
        </w:tc>
      </w:tr>
      <w:tr w:rsidR="0024408A" w14:paraId="2B385063" w14:textId="77777777" w:rsidTr="006A007A">
        <w:trPr>
          <w:trHeight w:val="559"/>
        </w:trPr>
        <w:tc>
          <w:tcPr>
            <w:tcW w:w="4757" w:type="dxa"/>
          </w:tcPr>
          <w:p w14:paraId="2C8E5B43" w14:textId="2032235F" w:rsidR="0024408A" w:rsidRDefault="0024408A" w:rsidP="0024408A">
            <w:pPr>
              <w:pStyle w:val="NoSpacing"/>
            </w:pPr>
          </w:p>
        </w:tc>
        <w:tc>
          <w:tcPr>
            <w:tcW w:w="679" w:type="dxa"/>
          </w:tcPr>
          <w:p w14:paraId="6C4FDFC5" w14:textId="77777777" w:rsidR="0024408A" w:rsidRDefault="0024408A" w:rsidP="0024408A">
            <w:pPr>
              <w:pStyle w:val="NoSpacing"/>
            </w:pPr>
          </w:p>
        </w:tc>
        <w:tc>
          <w:tcPr>
            <w:tcW w:w="4758" w:type="dxa"/>
            <w:tcBorders>
              <w:top w:val="single" w:sz="4" w:space="0" w:color="auto"/>
            </w:tcBorders>
          </w:tcPr>
          <w:p w14:paraId="4F487EE1" w14:textId="67F5E2E1" w:rsidR="0024408A" w:rsidRDefault="0024408A" w:rsidP="0024408A">
            <w:pPr>
              <w:pStyle w:val="NoSpacing"/>
            </w:pPr>
            <w:r>
              <w:t>Staður og dagsetning</w:t>
            </w:r>
          </w:p>
        </w:tc>
      </w:tr>
      <w:tr w:rsidR="0096599F" w14:paraId="68AEC477" w14:textId="77777777" w:rsidTr="006A007A">
        <w:trPr>
          <w:trHeight w:val="703"/>
        </w:trPr>
        <w:tc>
          <w:tcPr>
            <w:tcW w:w="4757" w:type="dxa"/>
          </w:tcPr>
          <w:p w14:paraId="3BF18057" w14:textId="27E18B26" w:rsidR="0096599F" w:rsidRDefault="0096599F" w:rsidP="0024408A">
            <w:pPr>
              <w:pStyle w:val="NoSpacing"/>
            </w:pPr>
          </w:p>
        </w:tc>
        <w:tc>
          <w:tcPr>
            <w:tcW w:w="679" w:type="dxa"/>
          </w:tcPr>
          <w:p w14:paraId="3AD54F84" w14:textId="77777777" w:rsidR="0096599F" w:rsidRDefault="0096599F" w:rsidP="0024408A">
            <w:pPr>
              <w:pStyle w:val="NoSpacing"/>
            </w:pPr>
          </w:p>
        </w:tc>
        <w:tc>
          <w:tcPr>
            <w:tcW w:w="4758" w:type="dxa"/>
            <w:tcBorders>
              <w:bottom w:val="single" w:sz="4" w:space="0" w:color="auto"/>
            </w:tcBorders>
          </w:tcPr>
          <w:p w14:paraId="2458407D" w14:textId="19C9A214" w:rsidR="0096599F" w:rsidRDefault="006A007A" w:rsidP="0024408A">
            <w:pPr>
              <w:pStyle w:val="NoSpacing"/>
            </w:pPr>
            <w:r>
              <w:t xml:space="preserve">F.h. </w:t>
            </w:r>
            <w:r>
              <w:fldChar w:fldCharType="begin"/>
            </w:r>
            <w:r>
              <w:instrText xml:space="preserve"> REF  Vidskiptavinur </w:instrText>
            </w:r>
            <w:r>
              <w:fldChar w:fldCharType="separate"/>
            </w:r>
            <w:r>
              <w:rPr>
                <w:noProof/>
              </w:rPr>
              <w:t xml:space="preserve">     </w:t>
            </w:r>
            <w:r>
              <w:fldChar w:fldCharType="end"/>
            </w:r>
          </w:p>
        </w:tc>
      </w:tr>
      <w:tr w:rsidR="0096599F" w14:paraId="03E98649" w14:textId="77777777" w:rsidTr="006A007A">
        <w:trPr>
          <w:trHeight w:val="560"/>
        </w:trPr>
        <w:tc>
          <w:tcPr>
            <w:tcW w:w="4757" w:type="dxa"/>
          </w:tcPr>
          <w:p w14:paraId="662F1811" w14:textId="3E83A677" w:rsidR="0096599F" w:rsidRDefault="0096599F" w:rsidP="0024408A">
            <w:pPr>
              <w:pStyle w:val="NoSpacing"/>
            </w:pPr>
          </w:p>
        </w:tc>
        <w:tc>
          <w:tcPr>
            <w:tcW w:w="679" w:type="dxa"/>
          </w:tcPr>
          <w:p w14:paraId="37BB3BFD" w14:textId="77777777" w:rsidR="0096599F" w:rsidRDefault="0096599F" w:rsidP="0024408A">
            <w:pPr>
              <w:pStyle w:val="NoSpacing"/>
            </w:pPr>
          </w:p>
        </w:tc>
        <w:tc>
          <w:tcPr>
            <w:tcW w:w="4758" w:type="dxa"/>
            <w:tcBorders>
              <w:top w:val="single" w:sz="4" w:space="0" w:color="auto"/>
              <w:bottom w:val="single" w:sz="4" w:space="0" w:color="auto"/>
            </w:tcBorders>
          </w:tcPr>
          <w:p w14:paraId="24F91D66" w14:textId="193A1EE6" w:rsidR="0096599F" w:rsidRDefault="0096599F" w:rsidP="0024408A">
            <w:pPr>
              <w:pStyle w:val="NoSpacing"/>
            </w:pPr>
          </w:p>
        </w:tc>
      </w:tr>
      <w:tr w:rsidR="0096599F" w14:paraId="11882347" w14:textId="77777777" w:rsidTr="006A007A">
        <w:trPr>
          <w:trHeight w:val="560"/>
        </w:trPr>
        <w:tc>
          <w:tcPr>
            <w:tcW w:w="4757" w:type="dxa"/>
          </w:tcPr>
          <w:p w14:paraId="23EDE541" w14:textId="5B95EA7C" w:rsidR="0096599F" w:rsidRDefault="0096599F" w:rsidP="0024408A">
            <w:pPr>
              <w:pStyle w:val="NoSpacing"/>
            </w:pPr>
          </w:p>
        </w:tc>
        <w:tc>
          <w:tcPr>
            <w:tcW w:w="679" w:type="dxa"/>
          </w:tcPr>
          <w:p w14:paraId="7880A3F6" w14:textId="77777777" w:rsidR="0096599F" w:rsidRDefault="0096599F" w:rsidP="0024408A">
            <w:pPr>
              <w:pStyle w:val="NoSpacing"/>
            </w:pPr>
          </w:p>
        </w:tc>
        <w:tc>
          <w:tcPr>
            <w:tcW w:w="4758" w:type="dxa"/>
            <w:tcBorders>
              <w:top w:val="single" w:sz="4" w:space="0" w:color="auto"/>
              <w:bottom w:val="single" w:sz="4" w:space="0" w:color="auto"/>
            </w:tcBorders>
          </w:tcPr>
          <w:p w14:paraId="7A1EFACA" w14:textId="65C02FE6" w:rsidR="0096599F" w:rsidRDefault="0096599F" w:rsidP="0024408A">
            <w:pPr>
              <w:pStyle w:val="NoSpacing"/>
            </w:pPr>
          </w:p>
        </w:tc>
      </w:tr>
    </w:tbl>
    <w:p w14:paraId="1093CB6B" w14:textId="77777777" w:rsidR="001E285D" w:rsidRDefault="001E285D"/>
    <w:sectPr w:rsidR="001E285D" w:rsidSect="00375CDE">
      <w:footerReference w:type="default" r:id="rId11"/>
      <w:headerReference w:type="first" r:id="rId12"/>
      <w:footerReference w:type="first" r:id="rId13"/>
      <w:pgSz w:w="11906" w:h="16838" w:code="9"/>
      <w:pgMar w:top="1134"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1445" w14:textId="77777777" w:rsidR="00375CDE" w:rsidRDefault="00375CDE" w:rsidP="009360C6">
      <w:pPr>
        <w:spacing w:before="0" w:after="0"/>
      </w:pPr>
      <w:r>
        <w:separator/>
      </w:r>
    </w:p>
  </w:endnote>
  <w:endnote w:type="continuationSeparator" w:id="0">
    <w:p w14:paraId="4784B8EB" w14:textId="77777777" w:rsidR="00375CDE" w:rsidRDefault="00375CDE" w:rsidP="009360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F874" w14:textId="77777777" w:rsidR="001E285D" w:rsidRDefault="001E285D" w:rsidP="00907F85">
    <w:pPr>
      <w:pStyle w:val="Footer"/>
      <w:tabs>
        <w:tab w:val="clear" w:pos="4536"/>
        <w:tab w:val="clear" w:pos="9072"/>
        <w:tab w:val="center" w:pos="5103"/>
        <w:tab w:val="right" w:pos="10204"/>
      </w:tabs>
    </w:pPr>
  </w:p>
  <w:p w14:paraId="0FC0C19A" w14:textId="3FC4C627" w:rsidR="00907F85" w:rsidRDefault="00907F85" w:rsidP="00907F85">
    <w:pPr>
      <w:pStyle w:val="Footer"/>
      <w:tabs>
        <w:tab w:val="clear" w:pos="4536"/>
        <w:tab w:val="clear" w:pos="9072"/>
        <w:tab w:val="center" w:pos="5103"/>
        <w:tab w:val="right" w:pos="10204"/>
      </w:tabs>
    </w:pPr>
    <w:r>
      <w:tab/>
    </w:r>
    <w:r>
      <w:tab/>
      <w:t xml:space="preserve">Síða </w:t>
    </w:r>
    <w:r>
      <w:fldChar w:fldCharType="begin"/>
    </w:r>
    <w:r>
      <w:instrText xml:space="preserve"> PAGE  \* Arabic  \* MERGEFORMAT </w:instrText>
    </w:r>
    <w:r>
      <w:fldChar w:fldCharType="separate"/>
    </w:r>
    <w:r>
      <w:rPr>
        <w:noProof/>
      </w:rPr>
      <w:t>2</w:t>
    </w:r>
    <w:r>
      <w:fldChar w:fldCharType="end"/>
    </w:r>
    <w:r>
      <w:t xml:space="preserve"> af </w:t>
    </w:r>
    <w:fldSimple w:instr=" NUMPAGES  \* Arabic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71F7" w14:textId="77777777" w:rsidR="00FD520B" w:rsidRDefault="00FD520B" w:rsidP="00907F85">
    <w:pPr>
      <w:pStyle w:val="Footer"/>
      <w:tabs>
        <w:tab w:val="clear" w:pos="4536"/>
        <w:tab w:val="clear" w:pos="9072"/>
        <w:tab w:val="center" w:pos="5103"/>
        <w:tab w:val="right" w:pos="10204"/>
      </w:tabs>
    </w:pPr>
  </w:p>
  <w:p w14:paraId="4BECCBD3" w14:textId="34B25015" w:rsidR="001E285D" w:rsidRDefault="001E285D" w:rsidP="00907F85">
    <w:pPr>
      <w:pStyle w:val="Footer"/>
      <w:tabs>
        <w:tab w:val="clear" w:pos="4536"/>
        <w:tab w:val="clear" w:pos="9072"/>
        <w:tab w:val="center" w:pos="5103"/>
        <w:tab w:val="right" w:pos="10204"/>
      </w:tabs>
    </w:pPr>
    <w:r w:rsidRPr="009740C3">
      <w:rPr>
        <w:b/>
        <w:bCs/>
      </w:rPr>
      <w:t>TRÚNAÐARMÁL</w:t>
    </w:r>
    <w:r>
      <w:tab/>
    </w:r>
    <w:r>
      <w:tab/>
      <w:t xml:space="preserve">Frumrit </w:t>
    </w:r>
    <w:r w:rsidR="00907F85">
      <w:t>sent til</w:t>
    </w:r>
    <w:r w:rsidR="006A007A">
      <w:t xml:space="preserve"> Lánaumsjónar</w:t>
    </w:r>
  </w:p>
  <w:p w14:paraId="5716BB62" w14:textId="31F5C293" w:rsidR="00907F85" w:rsidRDefault="00907F85" w:rsidP="00907F85">
    <w:pPr>
      <w:pStyle w:val="Footer"/>
      <w:tabs>
        <w:tab w:val="clear" w:pos="4536"/>
        <w:tab w:val="clear" w:pos="9072"/>
        <w:tab w:val="center" w:pos="5103"/>
        <w:tab w:val="right" w:pos="10204"/>
      </w:tabs>
    </w:pPr>
    <w:r w:rsidRPr="009740C3">
      <w:rPr>
        <w:color w:val="808080" w:themeColor="background1" w:themeShade="80"/>
        <w:sz w:val="14"/>
        <w:szCs w:val="14"/>
      </w:rPr>
      <w:t xml:space="preserve">Ebl. </w:t>
    </w:r>
    <w:r w:rsidR="006A007A">
      <w:rPr>
        <w:color w:val="808080" w:themeColor="background1" w:themeShade="80"/>
        <w:sz w:val="14"/>
        <w:szCs w:val="14"/>
      </w:rPr>
      <w:t>0346-02</w:t>
    </w:r>
    <w:r>
      <w:tab/>
    </w:r>
    <w:r>
      <w:tab/>
      <w:t xml:space="preserve">Síða </w:t>
    </w:r>
    <w:r>
      <w:fldChar w:fldCharType="begin"/>
    </w:r>
    <w:r>
      <w:instrText xml:space="preserve"> PAGE  \* Arabic  \* MERGEFORMAT </w:instrText>
    </w:r>
    <w:r>
      <w:fldChar w:fldCharType="separate"/>
    </w:r>
    <w:r>
      <w:rPr>
        <w:noProof/>
      </w:rPr>
      <w:t>1</w:t>
    </w:r>
    <w:r>
      <w:fldChar w:fldCharType="end"/>
    </w:r>
    <w:r>
      <w:t xml:space="preserve"> af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C30E" w14:textId="77777777" w:rsidR="00375CDE" w:rsidRDefault="00375CDE" w:rsidP="009360C6">
      <w:pPr>
        <w:spacing w:before="0" w:after="0"/>
      </w:pPr>
      <w:r>
        <w:separator/>
      </w:r>
    </w:p>
  </w:footnote>
  <w:footnote w:type="continuationSeparator" w:id="0">
    <w:p w14:paraId="2A872D06" w14:textId="77777777" w:rsidR="00375CDE" w:rsidRDefault="00375CDE" w:rsidP="009360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gridCol w:w="9490"/>
    </w:tblGrid>
    <w:tr w:rsidR="009360C6" w14:paraId="697BF9AD" w14:textId="77777777" w:rsidTr="003834C0">
      <w:tc>
        <w:tcPr>
          <w:tcW w:w="680" w:type="dxa"/>
          <w:vAlign w:val="bottom"/>
        </w:tcPr>
        <w:p w14:paraId="0C95DEAF" w14:textId="0C69BAD3" w:rsidR="009360C6" w:rsidRDefault="009360C6" w:rsidP="00E3040C">
          <w:pPr>
            <w:pStyle w:val="Header"/>
            <w:jc w:val="left"/>
          </w:pPr>
          <w:r>
            <w:rPr>
              <w:noProof/>
            </w:rPr>
            <w:drawing>
              <wp:inline distT="0" distB="0" distL="0" distR="0" wp14:anchorId="4F30E879" wp14:editId="3E7B9411">
                <wp:extent cx="360353" cy="360000"/>
                <wp:effectExtent l="0" t="0" r="1905" b="2540"/>
                <wp:docPr id="1909767010" name="Picture 3" descr="A whit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931491" name="Picture 3" descr="A whit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353" cy="360000"/>
                        </a:xfrm>
                        <a:prstGeom prst="rect">
                          <a:avLst/>
                        </a:prstGeom>
                      </pic:spPr>
                    </pic:pic>
                  </a:graphicData>
                </a:graphic>
              </wp:inline>
            </w:drawing>
          </w:r>
        </w:p>
      </w:tc>
      <w:tc>
        <w:tcPr>
          <w:tcW w:w="9490" w:type="dxa"/>
          <w:vAlign w:val="bottom"/>
        </w:tcPr>
        <w:p w14:paraId="6C8C9D50" w14:textId="4601A830" w:rsidR="009360C6" w:rsidRDefault="006A007A" w:rsidP="006A007A">
          <w:pPr>
            <w:pStyle w:val="Title"/>
          </w:pPr>
          <w:r>
            <w:t>Skilmálar fyrir innheimtuþjónustu</w:t>
          </w:r>
        </w:p>
      </w:tc>
    </w:tr>
  </w:tbl>
  <w:p w14:paraId="37B1E2BA" w14:textId="77777777" w:rsidR="009360C6" w:rsidRDefault="009360C6" w:rsidP="00E3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4315"/>
    <w:multiLevelType w:val="hybridMultilevel"/>
    <w:tmpl w:val="62B6443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DAC4C30"/>
    <w:multiLevelType w:val="hybridMultilevel"/>
    <w:tmpl w:val="AA284D2C"/>
    <w:lvl w:ilvl="0" w:tplc="235A7826">
      <w:start w:val="1"/>
      <w:numFmt w:val="decimal"/>
      <w:pStyle w:val="ListParagraph"/>
      <w:lvlText w:val="%1."/>
      <w:lvlJc w:val="left"/>
      <w:pPr>
        <w:ind w:left="711" w:hanging="711"/>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16cid:durableId="582758806">
    <w:abstractNumId w:val="0"/>
  </w:num>
  <w:num w:numId="2" w16cid:durableId="1319698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cumentProtection w:edit="forms" w:enforcement="1" w:cryptProviderType="rsaAES" w:cryptAlgorithmClass="hash" w:cryptAlgorithmType="typeAny" w:cryptAlgorithmSid="14" w:cryptSpinCount="100000" w:hash="3zEFB17k96YsUDMCjcSlSYDYHRFLxLm4DR+JZpPyTV9g29ZtD03DBbAWANt795a0+LvjK79t8XEVYH493E1oVQ==" w:salt="S1uVFR6z2ZaHG6ZCDAS0c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16"/>
    <w:rsid w:val="00181D87"/>
    <w:rsid w:val="001E285D"/>
    <w:rsid w:val="001E723D"/>
    <w:rsid w:val="0024408A"/>
    <w:rsid w:val="00290A4C"/>
    <w:rsid w:val="00362FE8"/>
    <w:rsid w:val="00375CDE"/>
    <w:rsid w:val="003834C0"/>
    <w:rsid w:val="003C4CAE"/>
    <w:rsid w:val="004C04DC"/>
    <w:rsid w:val="005F6CE5"/>
    <w:rsid w:val="00693F72"/>
    <w:rsid w:val="00697A2E"/>
    <w:rsid w:val="006A007A"/>
    <w:rsid w:val="007626F7"/>
    <w:rsid w:val="00820539"/>
    <w:rsid w:val="00862D4E"/>
    <w:rsid w:val="00907F85"/>
    <w:rsid w:val="009360C6"/>
    <w:rsid w:val="0096599F"/>
    <w:rsid w:val="009740C3"/>
    <w:rsid w:val="00AB4D0F"/>
    <w:rsid w:val="00B509F2"/>
    <w:rsid w:val="00B71734"/>
    <w:rsid w:val="00C24C32"/>
    <w:rsid w:val="00C9070A"/>
    <w:rsid w:val="00D674E0"/>
    <w:rsid w:val="00D957D9"/>
    <w:rsid w:val="00DB3316"/>
    <w:rsid w:val="00E3040C"/>
    <w:rsid w:val="00EB42C4"/>
    <w:rsid w:val="00F4709F"/>
    <w:rsid w:val="00FA6DF3"/>
    <w:rsid w:val="00FD520B"/>
    <w:rsid w:val="00FF35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EA83"/>
  <w15:chartTrackingRefBased/>
  <w15:docId w15:val="{B53ED1C7-9187-4A28-A519-A7CA87A7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7A"/>
    <w:pPr>
      <w:spacing w:before="120" w:after="120" w:line="240" w:lineRule="auto"/>
      <w:jc w:val="both"/>
    </w:pPr>
    <w:rPr>
      <w:rFonts w:ascii="Arial" w:hAnsi="Arial"/>
      <w:sz w:val="18"/>
    </w:rPr>
  </w:style>
  <w:style w:type="paragraph" w:styleId="Heading1">
    <w:name w:val="heading 1"/>
    <w:basedOn w:val="Normal"/>
    <w:next w:val="Normal"/>
    <w:link w:val="Heading1Char"/>
    <w:uiPriority w:val="9"/>
    <w:qFormat/>
    <w:rsid w:val="00EB42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0C6"/>
    <w:pPr>
      <w:tabs>
        <w:tab w:val="center" w:pos="4536"/>
        <w:tab w:val="right" w:pos="9072"/>
      </w:tabs>
      <w:spacing w:before="0" w:after="0"/>
    </w:pPr>
  </w:style>
  <w:style w:type="character" w:customStyle="1" w:styleId="HeaderChar">
    <w:name w:val="Header Char"/>
    <w:basedOn w:val="DefaultParagraphFont"/>
    <w:link w:val="Header"/>
    <w:uiPriority w:val="99"/>
    <w:rsid w:val="009360C6"/>
    <w:rPr>
      <w:rFonts w:ascii="Arial" w:hAnsi="Arial"/>
      <w:sz w:val="20"/>
    </w:rPr>
  </w:style>
  <w:style w:type="paragraph" w:styleId="Footer">
    <w:name w:val="footer"/>
    <w:basedOn w:val="Normal"/>
    <w:link w:val="FooterChar"/>
    <w:uiPriority w:val="99"/>
    <w:unhideWhenUsed/>
    <w:rsid w:val="009360C6"/>
    <w:pPr>
      <w:tabs>
        <w:tab w:val="center" w:pos="4536"/>
        <w:tab w:val="right" w:pos="9072"/>
      </w:tabs>
      <w:spacing w:before="0" w:after="0"/>
    </w:pPr>
  </w:style>
  <w:style w:type="character" w:customStyle="1" w:styleId="FooterChar">
    <w:name w:val="Footer Char"/>
    <w:basedOn w:val="DefaultParagraphFont"/>
    <w:link w:val="Footer"/>
    <w:uiPriority w:val="99"/>
    <w:rsid w:val="009360C6"/>
    <w:rPr>
      <w:rFonts w:ascii="Arial" w:hAnsi="Arial"/>
      <w:sz w:val="20"/>
    </w:rPr>
  </w:style>
  <w:style w:type="table" w:styleId="TableGrid">
    <w:name w:val="Table Grid"/>
    <w:basedOn w:val="TableNormal"/>
    <w:uiPriority w:val="39"/>
    <w:rsid w:val="0093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626F7"/>
    <w:pPr>
      <w:spacing w:before="0" w:after="0"/>
      <w:contextualSpacing/>
      <w:jc w:val="left"/>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7626F7"/>
    <w:rPr>
      <w:rFonts w:ascii="Arial" w:eastAsiaTheme="majorEastAsia" w:hAnsi="Arial" w:cstheme="majorBidi"/>
      <w:b/>
      <w:spacing w:val="-10"/>
      <w:kern w:val="28"/>
      <w:sz w:val="28"/>
      <w:szCs w:val="28"/>
    </w:rPr>
  </w:style>
  <w:style w:type="paragraph" w:styleId="Subtitle">
    <w:name w:val="Subtitle"/>
    <w:basedOn w:val="Normal"/>
    <w:next w:val="Normal"/>
    <w:link w:val="SubtitleChar"/>
    <w:uiPriority w:val="11"/>
    <w:qFormat/>
    <w:rsid w:val="003834C0"/>
    <w:pPr>
      <w:numPr>
        <w:ilvl w:val="1"/>
      </w:numPr>
      <w:spacing w:before="60" w:after="0"/>
      <w:ind w:left="142" w:hanging="142"/>
      <w:jc w:val="left"/>
    </w:pPr>
    <w:rPr>
      <w:rFonts w:eastAsiaTheme="minorEastAsia"/>
      <w:spacing w:val="15"/>
    </w:rPr>
  </w:style>
  <w:style w:type="character" w:customStyle="1" w:styleId="SubtitleChar">
    <w:name w:val="Subtitle Char"/>
    <w:basedOn w:val="DefaultParagraphFont"/>
    <w:link w:val="Subtitle"/>
    <w:uiPriority w:val="11"/>
    <w:rsid w:val="003834C0"/>
    <w:rPr>
      <w:rFonts w:ascii="Arial" w:eastAsiaTheme="minorEastAsia" w:hAnsi="Arial"/>
      <w:spacing w:val="15"/>
      <w:sz w:val="20"/>
    </w:rPr>
  </w:style>
  <w:style w:type="paragraph" w:styleId="NoSpacing">
    <w:name w:val="No Spacing"/>
    <w:uiPriority w:val="1"/>
    <w:qFormat/>
    <w:rsid w:val="00E3040C"/>
    <w:pPr>
      <w:spacing w:after="0" w:line="240" w:lineRule="auto"/>
    </w:pPr>
    <w:rPr>
      <w:rFonts w:ascii="Arial" w:hAnsi="Arial"/>
      <w:sz w:val="20"/>
    </w:rPr>
  </w:style>
  <w:style w:type="character" w:customStyle="1" w:styleId="Heading1Char">
    <w:name w:val="Heading 1 Char"/>
    <w:basedOn w:val="DefaultParagraphFont"/>
    <w:link w:val="Heading1"/>
    <w:uiPriority w:val="9"/>
    <w:rsid w:val="00EB42C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007A"/>
    <w:pPr>
      <w:numPr>
        <w:numId w:val="2"/>
      </w:numPr>
      <w:spacing w:before="60" w:after="60"/>
      <w:ind w:left="425" w:hanging="425"/>
    </w:pPr>
  </w:style>
  <w:style w:type="character" w:styleId="Hyperlink">
    <w:name w:val="Hyperlink"/>
    <w:basedOn w:val="DefaultParagraphFont"/>
    <w:uiPriority w:val="99"/>
    <w:unhideWhenUsed/>
    <w:rsid w:val="00B71734"/>
    <w:rPr>
      <w:color w:val="0563C1" w:themeColor="hyperlink"/>
      <w:u w:val="single"/>
    </w:rPr>
  </w:style>
  <w:style w:type="character" w:styleId="UnresolvedMention">
    <w:name w:val="Unresolved Mention"/>
    <w:basedOn w:val="DefaultParagraphFont"/>
    <w:uiPriority w:val="99"/>
    <w:semiHidden/>
    <w:unhideWhenUsed/>
    <w:rsid w:val="00B7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sbankinn.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ndsbankinn.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glugerd.is/reglugerdir/allar/nr/037-2009" TargetMode="External"/><Relationship Id="rId4" Type="http://schemas.openxmlformats.org/officeDocument/2006/relationships/webSettings" Target="webSettings.xml"/><Relationship Id="rId9" Type="http://schemas.openxmlformats.org/officeDocument/2006/relationships/hyperlink" Target="https://www.althingi.is/lagas/nuna/2008095.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980f006-ff80-46cf-9594-c6dbc7fd0fc1}" enabled="0" method="" siteId="{e980f006-ff80-46cf-9594-c6dbc7fd0fc1}" removed="1"/>
</clbl:labelList>
</file>

<file path=docProps/app.xml><?xml version="1.0" encoding="utf-8"?>
<Properties xmlns="http://schemas.openxmlformats.org/officeDocument/2006/extended-properties" xmlns:vt="http://schemas.openxmlformats.org/officeDocument/2006/docPropsVTypes">
  <Template>Normal</Template>
  <TotalTime>11</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Skilmálar fyrir innheimtuþjónustu</vt:lpstr>
    </vt:vector>
  </TitlesOfParts>
  <Manager>Lögfræðiþjónusta</Manager>
  <Company>Landsbankinn hf.</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Skilmálar fyrir innheimtuþjónustu</dc:title>
  <dc:subject>Ebl. 0346</dc:subject>
  <dc:creator/>
  <cp:keywords/>
  <dc:description/>
  <cp:lastModifiedBy>Elín J. Gunnarsdóttir</cp:lastModifiedBy>
  <cp:revision>5</cp:revision>
  <dcterms:created xsi:type="dcterms:W3CDTF">2024-04-11T15:48:00Z</dcterms:created>
  <dcterms:modified xsi:type="dcterms:W3CDTF">2024-04-11T16:08:00Z</dcterms:modified>
</cp:coreProperties>
</file>